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Акушерское дело ПСА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Среднее образование | Специализация: Акушерское дело ПСА | Записей: 1 | Кейс: 1 | Вопросов: 12</w:t>
      </w:r>
    </w:p>
    <w:p>
      <w:r>
        <w:br w:type="page"/>
      </w:r>
    </w:p>
    <w:p>
      <w:pPr>
        <w:pStyle w:val="Heading1"/>
      </w:pPr>
      <w:r>
        <w:t>Акушерское дело ПСА - кейс 1</w:t>
      </w:r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Специализация: </w:t>
      </w:r>
      <w:r>
        <w:t>Акушерское дело ПСА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25 лет пришла на очередную явку к акушерке женской консультации.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 не предъявляет.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Состоит на диспансерном учете в женской консультации со срока беременности 8 недель.</w:t>
        <w:br/>
        <w:t>* На предыдущей явке 2 недели назад срок беременности составлял 34 недели.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Росла и развивалась нормально.</w:t>
        <w:br/>
        <w:t>* Перенесенные детские инфекционные заболевания: корь, коклюш.</w:t>
        <w:br/>
        <w:t>* Хронические соматические заболевания: отрицает.</w:t>
        <w:br/>
        <w:t>* Наследственность: не отягощена.</w:t>
        <w:br/>
        <w:t>* Аллергический анамнез: не отягощен.</w:t>
        <w:br/>
        <w:t>* Вредные привычки: отрицает.</w:t>
        <w:br/>
        <w:t>* Профессия: повар.</w:t>
        <w:br/>
        <w:t>* Менархе в 14 лет. Менструации регулярные, через 30 дней, по 4 дня, умеренные, безболезненные.</w:t>
        <w:br/>
        <w:t>* Половая жизнь в браке с 22 лет.</w:t>
        <w:br/>
        <w:t>* Гинекологические заболевания: отрицает.</w:t>
        <w:br/>
        <w:t>* Беременность вторая:</w:t>
      </w:r>
    </w:p>
    <w:p>
      <w:pPr>
        <w:spacing w:after="58"/>
      </w:pPr>
      <w:r>
        <w:rPr>
          <w:b w:val="0"/>
          <w:i w:val="0"/>
        </w:rPr>
        <w:t>Первая беременность 2 года назад завершилась инструментальным медицинским абортом на сроке гестации 6 недель, без осложнений.</w:t>
      </w:r>
    </w:p>
    <w:p>
      <w:pPr>
        <w:spacing w:after="58"/>
      </w:pPr>
      <w:r>
        <w:rPr>
          <w:b w:val="0"/>
          <w:i w:val="0"/>
        </w:rPr>
        <w:t>Вторая беременность – настоящая.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162 см. Масса тела  71 кг. Кожные покровы физиологической окраски, сыпи нет. Язык чистый, влажный. Пульс 78 ударов в минуту. АД 125/75 мм рт. ст. на правой руке и 130/80 мм рт.ст. на левой руке. Молочные железы увеличены, напряжены. Пигментация сосков и околососковых кружков. Выделения из сосков в виде молозива.</w:t>
      </w:r>
    </w:p>
    <w:p>
      <w:pPr>
        <w:spacing w:after="58"/>
      </w:pPr>
      <w:r>
        <w:rPr>
          <w:b w:val="0"/>
          <w:i w:val="0"/>
        </w:rPr>
        <w:t>Акушерский статус:</w:t>
      </w:r>
    </w:p>
    <w:p>
      <w:pPr>
        <w:spacing w:after="58"/>
      </w:pPr>
      <w:r>
        <w:rPr>
          <w:b w:val="0"/>
          <w:i w:val="0"/>
        </w:rPr>
        <w:t>Живот овоидной формы, увеличен за счет беременной матки. Дно матки на уровне мечевидного отростка. При пальпации живота в области дна матки пальпируется крупная, мягкая, малоподвижная часть плода. В левой боковой стороне матки прощупывается гладкая, широкая поверхность плода, в правой мелкие подвижные бугорки. Предлежащая часть плода пальпируется в виде крупной, плотной, баллотирующей части. Сердцебиение плода ясное, ритмичное, 134 удара в минуту, выслушивается слева ниже пупка, ближе к средней линии.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предварительного диагноза методом обследования пациентки на данном сроке беременности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антител к вирусу простого герпеса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измерение размеров таза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бимануальное влагалищное исследование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антител к вирусу краснухи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измерение размеров таза</w:t>
      </w:r>
    </w:p>
    <w:p>
      <w:pPr>
        <w:ind w:left="504"/>
      </w:pPr>
      <w:r>
        <w:rPr>
          <w:b w:val="0"/>
          <w:i/>
        </w:rPr>
        <w:t>Рекомендовано измерение размеров таза (пельвиметрия) беременной пациентке в 3-м триместре беременности.</w:t>
        <w:br/>
        <w:br/>
        <w:t>Комментарий: Измерение размеров таза проводится с помощью акушерского тазомера для определения акушерской тактики при родоразрешении.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2.4 Инструментальные диагностические исследования.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Измерение размеров таза (пельвиометрия)</w:t>
      </w:r>
    </w:p>
    <w:p>
      <w:pPr>
        <w:spacing w:after="58"/>
      </w:pPr>
      <w:r>
        <w:rPr>
          <w:b w:val="0"/>
          <w:i w:val="0"/>
        </w:rPr>
        <w:t>Ds. spinarum – 25 см, Ds. Cristarum – 28 см, Ds. trochanterica – 31 см, Сonjugate externa –20 см.</w:t>
      </w:r>
    </w:p>
    <w:p>
      <w:pPr>
        <w:pStyle w:val="Heading3"/>
      </w:pPr>
      <w:r>
        <w:t>3.4. Определение антител к вирусу краснухи</w:t>
      </w:r>
    </w:p>
    <w:p>
      <w:pPr>
        <w:spacing w:after="58"/>
      </w:pPr>
      <w:r>
        <w:rPr>
          <w:b w:val="0"/>
          <w:i w:val="0"/>
        </w:rPr>
        <w:t>аnti-Rubella-IgG 27 Ед/мл</w:t>
      </w:r>
    </w:p>
    <w:p>
      <w:pPr>
        <w:spacing w:after="58"/>
      </w:pPr>
      <w:r>
        <w:rPr>
          <w:b w:val="0"/>
          <w:i w:val="0"/>
        </w:rPr>
        <w:t>аnti-Rubella-IgМ – не обнаружено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ведения гравидограммы при каждом визите беременной после 20 недель гестации акушерке необходимо измерять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высоту дна матки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индекс массы тела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лучезапястный индекс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лонный угол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высоту дна матки</w:t>
      </w:r>
    </w:p>
    <w:p>
      <w:pPr>
        <w:ind w:left="504"/>
      </w:pPr>
      <w:r>
        <w:rPr>
          <w:b w:val="0"/>
          <w:i/>
        </w:rPr>
        <w:t>Рекомендовано определение окружности живота (ОЖ), измерение размеров матки (высоты дна матки - ВДМ) и заполнение гравидограммы у беременной пациентки при каждом визите после 20 недель беременности.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2.2 Физикальное обследование.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Высота дна матки</w:t>
      </w:r>
    </w:p>
    <w:p>
      <w:pPr>
        <w:spacing w:after="58"/>
      </w:pPr>
      <w:r>
        <w:rPr>
          <w:b w:val="0"/>
          <w:i w:val="0"/>
        </w:rPr>
        <w:t>36 см.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С целью решения вопроса о выборе тактики ведения родов на данном сроке беременности необходимо определить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вид и позицию плода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симптом поколачивания по пояснице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характер волосяного покрова на лобке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положение и предлежание плода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положение и предлежание плода</w:t>
      </w:r>
    </w:p>
    <w:p>
      <w:pPr>
        <w:ind w:left="504"/>
      </w:pPr>
      <w:r>
        <w:rPr>
          <w:b w:val="0"/>
          <w:i/>
        </w:rPr>
        <w:t>Рекомендовано определение положения и предлежания плода у беременной пациентки при каждом визите после 34-36 недель беременности с целью определения тактики ведения родов.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2.2 Физикальное обследование.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Результаты обследования</w:t>
      </w:r>
    </w:p>
    <w:p>
      <w:pPr>
        <w:pStyle w:val="Heading3"/>
      </w:pPr>
      <w:r>
        <w:t>7.1. Положение и предлежание плода</w:t>
      </w:r>
    </w:p>
    <w:p>
      <w:pPr>
        <w:spacing w:after="58"/>
      </w:pPr>
      <w:r>
        <w:rPr>
          <w:b w:val="0"/>
          <w:i w:val="0"/>
        </w:rPr>
        <w:t>Положение плода продольное, предлежание головное.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данной акушерской ситуации пациентке можно поставить предварительный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Беременность 34 недели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Беременность 36 недель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Беременность первая, 32 недели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Беременность вторая, 40 недель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Беременность 36 недель</w:t>
      </w:r>
    </w:p>
    <w:p>
      <w:pPr>
        <w:ind w:left="504"/>
      </w:pPr>
      <w:r>
        <w:rPr>
          <w:b w:val="0"/>
          <w:i/>
        </w:rPr>
        <w:t>По данным условия: две недели назад срок беременности составлял 34 недели.</w:t>
        <w:br/>
        <w:br/>
        <w:t>ВДМ 36 см соответствует сроку гестации 36 недель.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2.2 Физикальное обследование.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9. Диагноз</w:t>
      </w:r>
    </w:p>
    <w:p>
      <w:pPr>
        <w:pStyle w:val="Heading3"/>
      </w:pPr>
      <w:r>
        <w:t>9.1. Беременность 36 недель</w:t>
      </w:r>
    </w:p>
    <w:p>
      <w:pPr>
        <w:pStyle w:val="Heading2"/>
      </w:pPr>
      <w:r>
        <w:t>3. Акушерская тактика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снижения риска рождения ребёнка с признаками внутриутробной инфекции на данном сроке беременности рекомендовано назначить пациентке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определение стрептококка группы 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противовирусную терапию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антибактериальную терапию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TORCH - инфекции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определение стрептококка группы В</w:t>
      </w:r>
    </w:p>
    <w:p>
      <w:pPr>
        <w:ind w:left="504"/>
      </w:pPr>
      <w:r>
        <w:rPr>
          <w:b w:val="0"/>
          <w:i/>
        </w:rPr>
        <w:t>Рекомендовано направить беременную пациентку в 35,0-37,0 недель беременности на бактериологическое исследование вагинального отделяемого и ректального отделяемого на стрептококк группы В (_S. Agalactiae_) или определение ДНК стрептококка группы В (_S.agalactiae_) во влагалищном мазке и ректальном мазке методом ПЦР с целью своевременного выявления и лечения инфекции, вызванной _S.agalactiae_, для снижения риска внутриутробной инфекции.</w:t>
        <w:br/>
        <w:br/>
        <w:t>Комментарии: При положительном результате исследования пациенткам назначается антибиотикопрофилактика в родах.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Полный клинический диагноз у пациентки в данной ситуации формулируют на сроке беременности +________+ недель(-и)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36</w:t>
      </w:r>
    </w:p>
    <w:p>
      <w:pPr>
        <w:ind w:left="504"/>
      </w:pPr>
      <w:r>
        <w:rPr>
          <w:b w:val="0"/>
          <w:i/>
        </w:rPr>
        <w:t>{nbsp}19. При сроке беременности 36-37 недель беременности формулируется полный клинический диагноз и определяется место планового родоразрешения.</w:t>
        <w:br/>
        <w:br/>
        <w:t>Приказ Министерства здравоохранения РФ от 20 октября 2020 г. N 1130н "Об утверждении Порядка оказания медицинской помощи по профилю "акушерство и гинекология" I. Оказание медицинской помощи женщинам в период беременности.</w:t>
        <w:br/>
        <w:br/>
      </w:r>
      <w:hyperlink r:id="rId15">
        <w:r>
          <w:rPr>
            <w:color w:val="0F766E"/>
            <w:u w:val="single"/>
          </w:rPr>
          <w:t>ПРИКАЗ от 20 октября 2020 года N 1130н Об утверждении Порядка оказания медицинской помощи по профилю "акушерство и гинекология"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Пренатальным фактором риска возникновения послеродового кровотечения у пациентки в данной ситуации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инструментальный аборт в анамнезе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начало менструации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наличие профессиональных вредностей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перенесенные детские инфекционные заболевания в анамнезе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инструментальный аборт в анамнезе</w:t>
      </w:r>
    </w:p>
    <w:p>
      <w:pPr>
        <w:ind w:left="504"/>
      </w:pPr>
      <w:r>
        <w:rPr>
          <w:b w:val="0"/>
          <w:i/>
        </w:rPr>
        <w:t>Наличие в анамнезе инструментального аборта повышает риск послеродового кровотечения.</w:t>
        <w:br/>
        <w:br/>
        <w:t>Стратификация риска послеродовых кровотечений:</w:t>
        <w:br/>
        <w:br/>
        <w:t>Низкий риск – одноплодная беременность, менее 4 родов в анамнезе, отсутствие оперативных вмешательств на матке, отсутствие послеродовых кровотечений в анамнезе.</w:t>
        <w:br/>
        <w:br/>
        <w:t>Средний риск – многоплодная беременность, ≥ 4 родов в анамнезе, кесарево сечение или другое оперативное вмешательство на матке в анамнезе, миома матки больших размеров, хорионамнионит, родовозбуждение или родостимуляция окситоцином.</w:t>
        <w:br/>
        <w:br/>
        <w:t>Высокий риск – предлежание, плотное прикрепление или врастание плаценты, гематокрит &lt;30, кровопотеря при госпитализации, установленный дефект системы свертывания крови, послеродовое кровотечение в анамнезе.</w:t>
        <w:br/>
        <w:br/>
        <w:t>Клинические рекомендации министерства здравоохранения Российской Федерации «Послеродовое кровотечение», 2023. Параграф 1. Краткая информация по заболеванию или состоянию (группы заболеваний или состояний). 1.2 Этиология и патогенез заболевания или состояния (группы заболеваний или состояний).</w:t>
        <w:br/>
        <w:br/>
      </w:r>
      <w:hyperlink r:id="rId17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Послеродовое кровотечение, 2023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Дородовой отпуск у пациентки в данной ситуации длится +______+  календарных дней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86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140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70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70</w:t>
      </w:r>
    </w:p>
    <w:p>
      <w:pPr>
        <w:ind w:left="504"/>
      </w:pPr>
      <w:r>
        <w:rPr>
          <w:b w:val="0"/>
          <w:i/>
        </w:rPr>
        <w:t>Формирование листка нетрудоспособности по беременности и родам производится при сроке 30 недель беременности единовременно продолжительностью 140 календарных дней (70 календарных дней до родов и 70 календарных дней после родов).</w:t>
        <w:br/>
        <w:br/>
        <w:t>Приказ Министерства здравоохранения Российской Федерации от 23 ноября 2021 года №1089н «Об утверждении условий и порядка формирования листков нетрудоспособности в форме электронного документа и выдачи листков нетрудоспособности в форме документа на бумажном носителе в случаях, установленных законодательством Российской Федерации». Параграф VIII. Формирование листка нетрудоспособности по беременности и родам. П.57.</w:t>
        <w:br/>
        <w:br/>
      </w:r>
      <w:hyperlink r:id="rId19">
        <w:r>
          <w:rPr>
            <w:color w:val="0F766E"/>
            <w:u w:val="single"/>
          </w:rPr>
          <w:t>Приказ Минздрава России от 23.11.2021 №1089н «Об утверждении условий и порядка формирования листков нетрудоспособности в форме электронного документаи выдачи листков нетрудоспособности в форме документа на бумажных носителях в случаях, установленных законодательством Российской Федерации.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Формирование листка нетрудоспособности по беременности и родам производится при сроке гестации +______+ недель(-и)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</w:t>
      </w:r>
    </w:p>
    <w:p>
      <w:pPr>
        <w:ind w:left="504"/>
      </w:pPr>
      <w:r>
        <w:rPr>
          <w:b w:val="0"/>
          <w:i/>
        </w:rPr>
        <w:t>Формирование листка нетрудоспособности по беременности и родам производится при сроке 30 недель беременности единовременно продолжительностью 140 календарных дней (70 календарных дней до родов и 70 календарных дней после родов).</w:t>
        <w:br/>
        <w:br/>
        <w:t>Приказ Министерства здравоохранения Российской Федерации от 23 ноября 2021 года №1089н «Об утверждении условий и порядка формирования листков нетрудоспособности в форме электронного документа и выдачи листков нетрудоспособности в форме документа на бумажном носителе в случаях, установленных законодательством Российской Федерации». Параграф VIII. Формирование листка нетрудоспособности по беременности и родам. П.57.</w:t>
        <w:br/>
        <w:br/>
      </w:r>
      <w:hyperlink r:id="rId19">
        <w:r>
          <w:rPr>
            <w:color w:val="0F766E"/>
            <w:u w:val="single"/>
          </w:rPr>
          <w:t>Приказ Минздрава России от 23.11.2021 №1089н «Об утверждении условий и порядка формирования листков нетрудоспособности в форме электронного документаи выдачи листков нетрудоспособности в форме документа на бумажных носителях в случаях, установленных законодательством Российской Федерации.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Медицинская помощь, оказываемая акушеркой женской консультации пациентке в данной ситуации,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первичной доврачебной медико-санитарной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специализированной высокотехнологичной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первичной врачебной медико-санитарной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скорой специализированной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первичной доврачебной медико-санитарной</w:t>
      </w:r>
    </w:p>
    <w:p>
      <w:pPr>
        <w:ind w:left="504"/>
      </w:pPr>
      <w:r>
        <w:rPr>
          <w:b w:val="0"/>
          <w:i/>
        </w:rPr>
        <w:t>Первичная доврачебная медико-санитарная помощь оказывается фельдшерами, акушерами и другими медицинскими работниками со средним медицинским образованием.</w:t>
        <w:br/>
        <w:br/>
        <w:t>Постановление Правительства Российской Федерации от 29 декабря 2022 года № 2497 "О программе государственных гарантий бесплатного оказания гражданам медицинской помощи на 2023 год и на плановый период 2024 и 2025 годов". Параграф II. Перечень видов, форм и условий предоставления медицинской помощи, оказание которой осуществляется бесплатно.</w:t>
        <w:br/>
        <w:br/>
      </w:r>
      <w:hyperlink r:id="rId21">
        <w:r>
          <w:rPr>
            <w:color w:val="0F766E"/>
            <w:u w:val="single"/>
          </w:rPr>
          <w:t>Постановление Правительства Российской Федерации от 29 декабря 2022 г. № 2497 "О Программе государственных гарантий бесплатного оказания гражданам медицинской помощи на 2023 год и на плановый период 2024 и 2025 годов"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Количество скрининговых ультразвуковых исследований у пациентки в данной ситуации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Рекомендовано направить беременную пациентку в 11,0-13,6 недель беременности на УЗИ плода в медицинскую организацию, осуществляющую экспертный уровень пренатальной диагностики, с целью определения срока беременности, проведения скрининга 1-го триместра, диагностики многоплодной беременности.</w:t>
        <w:br/>
        <w:br/>
        <w:t>Рекомендовано направить беременную пациентку в 18,0-20,6 недель беременности на ультразвуковое скрининговое исследование по оценке антенатального развития плода с целью выявления ХА, пороков развития, рисков ЗРП, ПР, ПЭ (скрининг II) (код медицинской услуги А04.30.001.005), врожденных аномалий развития, оценки экстра эмбриональных структур (локализации, толщины, структуры плаценты, количества околоплодных вод) и УЗИ шейки матки (УЗ-цервикометрию) в медицинскую организацию, осуществляющую пренатальную диагностику.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2.4 Инструментальные диагностические исследования.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Посещение школы беременных рекомендовано с/со +____________+ беременности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третьего месяца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первого месяца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первой половины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второй половины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второй половины</w:t>
      </w:r>
    </w:p>
    <w:p>
      <w:pPr>
        <w:ind w:left="504"/>
      </w:pPr>
      <w:r>
        <w:rPr>
          <w:b w:val="0"/>
          <w:i/>
        </w:rPr>
        <w:t>Начиная со второй половины беременности, Вам рекомендуется посещать курсы для будущих родителей, где Вам будут даны ответы на возникающие во время беременности вопросы.</w:t>
        <w:br/>
        <w:br/>
        <w:t>Клинические рекомендации Министерства здравоохранения Российской Федерации «Нормальная беременность», 2023. Приложение В. Информация для пациента.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288_23/" TargetMode="External"/><Relationship Id="rId10" Type="http://schemas.openxmlformats.org/officeDocument/2006/relationships/hyperlink" Target="https://library.mededtech.ru/rest/documents/KP288_23/#list_item_4rt879" TargetMode="External"/><Relationship Id="rId11" Type="http://schemas.openxmlformats.org/officeDocument/2006/relationships/hyperlink" Target="https://library.mededtech.ru/rest/documents/KP288_23/#list_item_867kcu" TargetMode="External"/><Relationship Id="rId12" Type="http://schemas.openxmlformats.org/officeDocument/2006/relationships/hyperlink" Target="https://library.mededtech.ru/rest/documents/KP288_23/#list_item_8k4a3d" TargetMode="External"/><Relationship Id="rId13" Type="http://schemas.openxmlformats.org/officeDocument/2006/relationships/hyperlink" Target="https://library.mededtech.ru/rest/documents/KP288_23/#tab2" TargetMode="External"/><Relationship Id="rId14" Type="http://schemas.openxmlformats.org/officeDocument/2006/relationships/hyperlink" Target="https://library.mededtech.ru/rest/documents/KP288_23/#list_item_ljtir4" TargetMode="External"/><Relationship Id="rId15" Type="http://schemas.openxmlformats.org/officeDocument/2006/relationships/hyperlink" Target="https://library.mededtech.ru/rest/documents/prikazN1130" TargetMode="External"/><Relationship Id="rId16" Type="http://schemas.openxmlformats.org/officeDocument/2006/relationships/hyperlink" Target="https://library.mededtech.ru/rest/documents/prikazN1130/#list_item_sm55ls" TargetMode="External"/><Relationship Id="rId17" Type="http://schemas.openxmlformats.org/officeDocument/2006/relationships/hyperlink" Target="https://library.mededtech.ru/rest/documents/KP119/" TargetMode="External"/><Relationship Id="rId18" Type="http://schemas.openxmlformats.org/officeDocument/2006/relationships/hyperlink" Target="https://library.mededtech.ru/rest/documents/KP119/#paragraph_jmvdrr" TargetMode="External"/><Relationship Id="rId19" Type="http://schemas.openxmlformats.org/officeDocument/2006/relationships/hyperlink" Target="https://library.mededtech.ru/rest/documents/727231449/" TargetMode="External"/><Relationship Id="rId20" Type="http://schemas.openxmlformats.org/officeDocument/2006/relationships/hyperlink" Target="https://library.mededtech.ru/rest/documents/727231449/#list_item_s33bj0" TargetMode="External"/><Relationship Id="rId21" Type="http://schemas.openxmlformats.org/officeDocument/2006/relationships/hyperlink" Target="https://library.mededtech.ru/rest/documents/gos_garant/" TargetMode="External"/><Relationship Id="rId22" Type="http://schemas.openxmlformats.org/officeDocument/2006/relationships/hyperlink" Target="https://library.mededtech.ru/rest/documents/gos_garant/index.html#paragraph_kcdt8r" TargetMode="External"/><Relationship Id="rId23" Type="http://schemas.openxmlformats.org/officeDocument/2006/relationships/hyperlink" Target="https://library.mededtech.ru/rest/documents/KP288_23/#list_item_k5022s" TargetMode="External"/><Relationship Id="rId24" Type="http://schemas.openxmlformats.org/officeDocument/2006/relationships/hyperlink" Target="https://library.mededtech.ru/rest/documents/KP288_23/#list_item_2688np" TargetMode="External"/><Relationship Id="rId25" Type="http://schemas.openxmlformats.org/officeDocument/2006/relationships/hyperlink" Target="https://library.mededtech.ru/rest/documents/KP288_23/#paragraph_c6ho0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